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方正小标宋简体" w:hAnsi="方正小标宋简体" w:eastAsia="方正小标宋简体" w:cs="方正小标宋简体"/>
          <w:color w:val="FF0000"/>
          <w:w w:val="62"/>
          <w:kern w:val="120"/>
          <w:sz w:val="32"/>
          <w:szCs w:val="32"/>
        </w:rPr>
      </w:pPr>
    </w:p>
    <w:p>
      <w:pPr>
        <w:spacing w:line="520" w:lineRule="exact"/>
        <w:rPr>
          <w:rFonts w:ascii="方正小标宋简体" w:hAnsi="方正小标宋简体" w:eastAsia="方正小标宋简体" w:cs="方正小标宋简体"/>
          <w:color w:val="FF0000"/>
          <w:w w:val="62"/>
          <w:kern w:val="120"/>
          <w:sz w:val="32"/>
          <w:szCs w:val="32"/>
        </w:rPr>
      </w:pPr>
    </w:p>
    <w:p>
      <w:pPr>
        <w:spacing w:line="1600" w:lineRule="exact"/>
        <w:jc w:val="center"/>
        <w:rPr>
          <w:rFonts w:ascii="仿宋_GB2312" w:hAnsi="仿宋_GB2312" w:eastAsia="仿宋_GB2312" w:cs="仿宋_GB2312"/>
          <w:color w:val="FF0000"/>
          <w:w w:val="41"/>
          <w:kern w:val="120"/>
          <w:sz w:val="144"/>
          <w:szCs w:val="144"/>
        </w:rPr>
      </w:pPr>
      <w:r>
        <w:rPr>
          <w:rFonts w:hint="eastAsia" w:ascii="方正小标宋简体" w:hAnsi="方正小标宋简体" w:eastAsia="方正小标宋简体" w:cs="方正小标宋简体"/>
          <w:b/>
          <w:bCs/>
          <w:color w:val="FF0000"/>
          <w:w w:val="41"/>
          <w:kern w:val="120"/>
          <w:sz w:val="144"/>
          <w:szCs w:val="144"/>
        </w:rPr>
        <w:t>门源回族自治县生态环境局文件</w:t>
      </w:r>
    </w:p>
    <w:p>
      <w:pPr>
        <w:spacing w:line="560" w:lineRule="exact"/>
        <w:jc w:val="center"/>
        <w:rPr>
          <w:rFonts w:ascii="仿宋_GB2312" w:hAnsi="仿宋_GB2312" w:eastAsia="仿宋_GB2312" w:cs="仿宋_GB2312"/>
          <w:color w:val="FF0000"/>
          <w:w w:val="62"/>
          <w:kern w:val="120"/>
          <w:sz w:val="32"/>
          <w:szCs w:val="32"/>
        </w:rPr>
      </w:pPr>
    </w:p>
    <w:p>
      <w:pPr>
        <w:pStyle w:val="2"/>
        <w:spacing w:before="0" w:beforeAutospacing="0" w:after="0" w:afterAutospacing="0" w:line="560" w:lineRule="exact"/>
        <w:ind w:left="420" w:firstLine="624"/>
      </w:pPr>
    </w:p>
    <w:p>
      <w:pPr>
        <w:spacing w:line="440" w:lineRule="exact"/>
        <w:ind w:firstLine="320" w:firstLineChars="100"/>
        <w:rPr>
          <w:rFonts w:ascii="仿宋_GB2312" w:hAnsi="仿宋_GB2312" w:eastAsia="仿宋_GB2312" w:cs="仿宋_GB2312"/>
          <w:kern w:val="120"/>
          <w:sz w:val="32"/>
          <w:szCs w:val="32"/>
        </w:rPr>
      </w:pPr>
      <w:r>
        <w:rPr>
          <w:rFonts w:hint="eastAsia" w:ascii="仿宋_GB2312" w:hAnsi="仿宋_GB2312" w:eastAsia="仿宋_GB2312" w:cs="仿宋_GB2312"/>
          <w:kern w:val="120"/>
          <w:sz w:val="32"/>
          <w:szCs w:val="32"/>
        </w:rPr>
        <w:t>门生字〔2020〕</w:t>
      </w:r>
      <w:r>
        <w:rPr>
          <w:rFonts w:hint="eastAsia" w:ascii="仿宋_GB2312" w:hAnsi="仿宋_GB2312" w:eastAsia="仿宋_GB2312" w:cs="仿宋_GB2312"/>
          <w:kern w:val="120"/>
          <w:sz w:val="32"/>
          <w:szCs w:val="32"/>
          <w:lang w:val="en-US" w:eastAsia="zh-CN"/>
        </w:rPr>
        <w:t>231</w:t>
      </w:r>
      <w:r>
        <w:rPr>
          <w:rFonts w:hint="eastAsia" w:ascii="仿宋_GB2312" w:hAnsi="仿宋_GB2312" w:eastAsia="仿宋_GB2312" w:cs="仿宋_GB2312"/>
          <w:kern w:val="120"/>
          <w:sz w:val="32"/>
          <w:szCs w:val="32"/>
        </w:rPr>
        <w:t xml:space="preserve">号              </w:t>
      </w:r>
      <w:r>
        <w:rPr>
          <w:rFonts w:hint="eastAsia" w:ascii="仿宋_GB2312" w:hAnsi="仿宋_GB2312" w:eastAsia="仿宋_GB2312" w:cs="仿宋_GB2312"/>
          <w:kern w:val="120"/>
          <w:sz w:val="32"/>
          <w:szCs w:val="32"/>
          <w:lang w:val="en-US" w:eastAsia="zh-CN"/>
        </w:rPr>
        <w:t xml:space="preserve">  </w:t>
      </w:r>
      <w:r>
        <w:rPr>
          <w:rFonts w:hint="eastAsia" w:ascii="仿宋_GB2312" w:hAnsi="仿宋_GB2312" w:eastAsia="仿宋_GB2312" w:cs="仿宋_GB2312"/>
          <w:kern w:val="120"/>
          <w:sz w:val="32"/>
          <w:szCs w:val="32"/>
        </w:rPr>
        <w:t xml:space="preserve">    签发：</w:t>
      </w:r>
      <w:r>
        <w:rPr>
          <w:rFonts w:hint="eastAsia" w:ascii="楷体_GB2312" w:hAnsi="楷体_GB2312" w:eastAsia="楷体_GB2312" w:cs="楷体_GB2312"/>
          <w:kern w:val="120"/>
          <w:sz w:val="32"/>
          <w:szCs w:val="32"/>
        </w:rPr>
        <w:t>谢浩成</w:t>
      </w:r>
    </w:p>
    <w:p>
      <w:pPr>
        <w:pStyle w:val="2"/>
        <w:spacing w:before="0" w:beforeAutospacing="0" w:after="0" w:afterAutospacing="0" w:line="160" w:lineRule="exact"/>
        <w:ind w:left="0" w:leftChars="0" w:firstLine="0" w:firstLineChars="0"/>
        <w:rPr>
          <w:color w:val="FF0000"/>
          <w:spacing w:val="-6"/>
          <w:u w:val="thick"/>
        </w:rPr>
      </w:pPr>
      <w:r>
        <w:rPr>
          <w:rFonts w:hint="eastAsia" w:hAnsi="仿宋_GB2312" w:cs="仿宋_GB2312"/>
          <w:color w:val="FF0000"/>
          <w:kern w:val="120"/>
          <w:u w:val="thick"/>
        </w:rPr>
        <w:t xml:space="preserve">                                 </w:t>
      </w:r>
      <w:r>
        <w:rPr>
          <w:rFonts w:hint="eastAsia" w:hAnsi="仿宋_GB2312" w:cs="仿宋_GB2312"/>
          <w:color w:val="FF0000"/>
          <w:kern w:val="120"/>
          <w:u w:val="thick"/>
          <w:lang w:val="en-US" w:eastAsia="zh-CN"/>
        </w:rPr>
        <w:t xml:space="preserve">  </w:t>
      </w:r>
      <w:r>
        <w:rPr>
          <w:rFonts w:hint="eastAsia" w:hAnsi="仿宋_GB2312" w:cs="仿宋_GB2312"/>
          <w:color w:val="FF0000"/>
          <w:kern w:val="120"/>
          <w:u w:val="thick"/>
        </w:rPr>
        <w:t xml:space="preserve">               </w:t>
      </w:r>
      <w:r>
        <w:rPr>
          <w:rFonts w:hint="eastAsia" w:hAnsi="仿宋_GB2312" w:cs="仿宋_GB2312"/>
          <w:color w:val="FF0000"/>
          <w:kern w:val="120"/>
          <w:u w:val="thick"/>
          <w:lang w:val="en-US" w:eastAsia="zh-CN"/>
        </w:rPr>
        <w:t xml:space="preserve">    </w:t>
      </w:r>
      <w:r>
        <w:rPr>
          <w:rFonts w:hint="eastAsia" w:hAnsi="仿宋_GB2312" w:cs="仿宋_GB2312"/>
          <w:color w:val="FF0000"/>
          <w:kern w:val="120"/>
          <w:u w:val="thick"/>
        </w:rPr>
        <w:t xml:space="preserve">      </w:t>
      </w:r>
    </w:p>
    <w:p>
      <w:pPr>
        <w:rPr>
          <w:rFonts w:hint="eastAsia" w:eastAsiaTheme="minorEastAsia"/>
          <w:lang w:val="en-US" w:eastAsia="zh-CN"/>
        </w:rPr>
      </w:pPr>
      <w:r>
        <w:rPr>
          <w:rFonts w:hint="eastAsia"/>
          <w:lang w:val="en-US" w:eastAsia="zh-CN"/>
        </w:rPr>
        <w:t xml:space="preserve"> </w:t>
      </w:r>
    </w:p>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门源县生态环境局</w:t>
      </w:r>
    </w:p>
    <w:p>
      <w:pPr>
        <w:spacing w:line="640" w:lineRule="exact"/>
        <w:jc w:val="cente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门源县青石嘴镇活畜交易市场建设</w:t>
      </w:r>
      <w:r>
        <w:rPr>
          <w:rFonts w:hint="eastAsia" w:ascii="方正小标宋简体" w:hAnsi="方正小标宋简体" w:eastAsia="方正小标宋简体" w:cs="方正小标宋简体"/>
          <w:sz w:val="44"/>
          <w:szCs w:val="44"/>
        </w:rPr>
        <w:t>项目环境影响报告表的批复</w:t>
      </w:r>
    </w:p>
    <w:p>
      <w:pPr>
        <w:pStyle w:val="2"/>
        <w:pageBreakBefore w:val="0"/>
        <w:widowControl w:val="0"/>
        <w:kinsoku/>
        <w:overflowPunct/>
        <w:topLinePunct w:val="0"/>
        <w:autoSpaceDE/>
        <w:autoSpaceDN/>
        <w:bidi w:val="0"/>
        <w:adjustRightInd/>
        <w:snapToGrid/>
        <w:spacing w:before="0" w:beforeAutospacing="0" w:after="0" w:afterAutospacing="0" w:line="576" w:lineRule="exact"/>
        <w:ind w:left="420" w:firstLine="624"/>
        <w:textAlignment w:val="auto"/>
      </w:pPr>
    </w:p>
    <w:p>
      <w:pPr>
        <w:keepNext w:val="0"/>
        <w:keepLines w:val="0"/>
        <w:pageBreakBefore w:val="0"/>
        <w:widowControl w:val="0"/>
        <w:kinsoku/>
        <w:overflowPunct/>
        <w:topLinePunct w:val="0"/>
        <w:autoSpaceDE/>
        <w:autoSpaceDN/>
        <w:bidi w:val="0"/>
        <w:adjustRightInd/>
        <w:snapToGrid/>
        <w:spacing w:line="576"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门源县</w:t>
      </w:r>
      <w:r>
        <w:rPr>
          <w:rFonts w:hint="eastAsia" w:ascii="仿宋_GB2312" w:hAnsi="仿宋_GB2312" w:eastAsia="仿宋_GB2312" w:cs="仿宋_GB2312"/>
          <w:sz w:val="32"/>
          <w:szCs w:val="32"/>
          <w:lang w:eastAsia="zh-CN"/>
        </w:rPr>
        <w:t>青石嘴镇人民政府</w:t>
      </w:r>
      <w:r>
        <w:rPr>
          <w:rFonts w:hint="eastAsia" w:ascii="仿宋_GB2312" w:hAnsi="仿宋_GB2312" w:eastAsia="仿宋_GB2312" w:cs="仿宋_GB2312"/>
          <w:sz w:val="32"/>
          <w:szCs w:val="32"/>
        </w:rPr>
        <w:t>：</w:t>
      </w:r>
    </w:p>
    <w:p>
      <w:pPr>
        <w:keepNext w:val="0"/>
        <w:keepLines w:val="0"/>
        <w:pageBreakBefore w:val="0"/>
        <w:widowControl w:val="0"/>
        <w:kinsoku/>
        <w:overflowPunct/>
        <w:topLinePunct w:val="0"/>
        <w:autoSpaceDE/>
        <w:autoSpaceDN/>
        <w:bidi w:val="0"/>
        <w:adjustRightInd/>
        <w:snapToGrid/>
        <w:spacing w:line="57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你</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《关于</w:t>
      </w:r>
      <w:r>
        <w:rPr>
          <w:rFonts w:hint="eastAsia" w:ascii="仿宋_GB2312" w:hAnsi="仿宋_GB2312" w:eastAsia="仿宋_GB2312" w:cs="仿宋_GB2312"/>
          <w:sz w:val="32"/>
          <w:szCs w:val="32"/>
          <w:lang w:eastAsia="zh-CN"/>
        </w:rPr>
        <w:t>申请审批青石嘴镇</w:t>
      </w:r>
      <w:r>
        <w:rPr>
          <w:rFonts w:hint="eastAsia" w:ascii="仿宋_GB2312" w:hAnsi="仿宋_GB2312" w:eastAsia="仿宋_GB2312" w:cs="仿宋_GB2312"/>
          <w:sz w:val="32"/>
          <w:szCs w:val="32"/>
        </w:rPr>
        <w:t>活畜交易市场</w:t>
      </w:r>
      <w:r>
        <w:rPr>
          <w:rFonts w:hint="eastAsia" w:ascii="仿宋_GB2312" w:hAnsi="仿宋_GB2312" w:eastAsia="仿宋_GB2312" w:cs="仿宋_GB2312"/>
          <w:sz w:val="32"/>
          <w:szCs w:val="32"/>
          <w:lang w:eastAsia="zh-CN"/>
        </w:rPr>
        <w:t>建设项目</w:t>
      </w:r>
      <w:r>
        <w:rPr>
          <w:rFonts w:hint="eastAsia" w:ascii="仿宋_GB2312" w:hAnsi="仿宋_GB2312" w:eastAsia="仿宋_GB2312" w:cs="仿宋_GB2312"/>
          <w:sz w:val="32"/>
          <w:szCs w:val="32"/>
        </w:rPr>
        <w:t>环境影响报告表的请示》（门</w:t>
      </w:r>
      <w:r>
        <w:rPr>
          <w:rFonts w:hint="eastAsia" w:ascii="仿宋_GB2312" w:hAnsi="仿宋_GB2312" w:eastAsia="仿宋_GB2312" w:cs="仿宋_GB2312"/>
          <w:sz w:val="32"/>
          <w:szCs w:val="32"/>
          <w:lang w:eastAsia="zh-CN"/>
        </w:rPr>
        <w:t>青政</w:t>
      </w:r>
      <w:r>
        <w:rPr>
          <w:rFonts w:hint="eastAsia" w:ascii="仿宋_GB2312" w:hAnsi="仿宋_GB2312" w:eastAsia="仿宋_GB2312" w:cs="仿宋_GB2312"/>
          <w:sz w:val="32"/>
          <w:szCs w:val="32"/>
        </w:rPr>
        <w:t>〔2020〕1</w:t>
      </w:r>
      <w:r>
        <w:rPr>
          <w:rFonts w:hint="eastAsia" w:ascii="仿宋_GB2312" w:hAnsi="仿宋_GB2312" w:eastAsia="仿宋_GB2312" w:cs="仿宋_GB2312"/>
          <w:sz w:val="32"/>
          <w:szCs w:val="32"/>
          <w:lang w:val="en-US" w:eastAsia="zh-CN"/>
        </w:rPr>
        <w:t>87</w:t>
      </w:r>
      <w:r>
        <w:rPr>
          <w:rFonts w:hint="eastAsia" w:ascii="仿宋_GB2312" w:hAnsi="仿宋_GB2312" w:eastAsia="仿宋_GB2312" w:cs="仿宋_GB2312"/>
          <w:sz w:val="32"/>
          <w:szCs w:val="32"/>
        </w:rPr>
        <w:t>号）、《门源县</w:t>
      </w:r>
      <w:r>
        <w:rPr>
          <w:rFonts w:hint="eastAsia" w:ascii="仿宋_GB2312" w:hAnsi="仿宋_GB2312" w:eastAsia="仿宋_GB2312" w:cs="仿宋_GB2312"/>
          <w:sz w:val="32"/>
          <w:szCs w:val="32"/>
          <w:lang w:eastAsia="zh-CN"/>
        </w:rPr>
        <w:t>青石嘴镇</w:t>
      </w:r>
      <w:r>
        <w:rPr>
          <w:rFonts w:hint="eastAsia" w:ascii="仿宋_GB2312" w:hAnsi="仿宋_GB2312" w:eastAsia="仿宋_GB2312" w:cs="仿宋_GB2312"/>
          <w:sz w:val="32"/>
          <w:szCs w:val="32"/>
        </w:rPr>
        <w:t>活畜交易市场</w:t>
      </w:r>
      <w:r>
        <w:rPr>
          <w:rFonts w:hint="eastAsia" w:ascii="仿宋_GB2312" w:hAnsi="仿宋_GB2312" w:eastAsia="仿宋_GB2312" w:cs="仿宋_GB2312"/>
          <w:sz w:val="32"/>
          <w:szCs w:val="32"/>
          <w:lang w:eastAsia="zh-CN"/>
        </w:rPr>
        <w:t>建设项目</w:t>
      </w:r>
      <w:r>
        <w:rPr>
          <w:rFonts w:hint="eastAsia" w:ascii="仿宋_GB2312" w:hAnsi="仿宋_GB2312" w:eastAsia="仿宋_GB2312" w:cs="仿宋_GB2312"/>
          <w:sz w:val="32"/>
          <w:szCs w:val="32"/>
        </w:rPr>
        <w:t>环境影响报告表》（以下简称《报告表》）收悉，经审查，批复如下：</w:t>
      </w:r>
    </w:p>
    <w:p>
      <w:pPr>
        <w:keepNext w:val="0"/>
        <w:keepLines w:val="0"/>
        <w:pageBreakBefore w:val="0"/>
        <w:widowControl w:val="0"/>
        <w:kinsoku/>
        <w:overflowPunct/>
        <w:topLinePunct w:val="0"/>
        <w:autoSpaceDE/>
        <w:autoSpaceDN/>
        <w:bidi w:val="0"/>
        <w:adjustRightInd/>
        <w:snapToGrid/>
        <w:spacing w:line="576" w:lineRule="exact"/>
        <w:ind w:firstLine="643" w:firstLineChars="200"/>
        <w:textAlignment w:val="auto"/>
        <w:rPr>
          <w:rFonts w:ascii="黑体" w:hAnsi="黑体" w:eastAsia="黑体" w:cs="黑体"/>
          <w:b/>
          <w:bCs/>
          <w:sz w:val="32"/>
          <w:szCs w:val="32"/>
        </w:rPr>
      </w:pPr>
      <w:r>
        <w:rPr>
          <w:rFonts w:hint="eastAsia" w:ascii="黑体" w:hAnsi="黑体" w:eastAsia="黑体" w:cs="黑体"/>
          <w:b/>
          <w:bCs/>
          <w:sz w:val="32"/>
          <w:szCs w:val="32"/>
        </w:rPr>
        <w:t>一、项目基本情况</w:t>
      </w:r>
    </w:p>
    <w:p>
      <w:pPr>
        <w:keepNext w:val="0"/>
        <w:keepLines w:val="0"/>
        <w:pageBreakBefore w:val="0"/>
        <w:widowControl w:val="0"/>
        <w:kinsoku/>
        <w:overflowPunct/>
        <w:topLinePunct w:val="0"/>
        <w:autoSpaceDE/>
        <w:autoSpaceDN/>
        <w:bidi w:val="0"/>
        <w:adjustRightInd/>
        <w:snapToGrid/>
        <w:spacing w:line="57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拟建项目位于</w:t>
      </w:r>
      <w:r>
        <w:rPr>
          <w:rFonts w:hint="eastAsia" w:ascii="仿宋_GB2312" w:hAnsi="仿宋_GB2312" w:eastAsia="仿宋_GB2312" w:cs="仿宋_GB2312"/>
          <w:sz w:val="32"/>
          <w:szCs w:val="32"/>
        </w:rPr>
        <w:t>门源县</w:t>
      </w:r>
      <w:r>
        <w:rPr>
          <w:rFonts w:hint="eastAsia" w:ascii="仿宋_GB2312" w:hAnsi="仿宋_GB2312" w:eastAsia="仿宋_GB2312" w:cs="仿宋_GB2312"/>
          <w:sz w:val="32"/>
          <w:szCs w:val="32"/>
          <w:lang w:eastAsia="zh-CN"/>
        </w:rPr>
        <w:t>青石嘴镇西铁迈村</w:t>
      </w:r>
      <w:r>
        <w:rPr>
          <w:rFonts w:hint="eastAsia" w:ascii="仿宋_GB2312" w:hAnsi="仿宋_GB2312" w:eastAsia="仿宋_GB2312" w:cs="仿宋_GB2312"/>
          <w:sz w:val="32"/>
          <w:szCs w:val="32"/>
        </w:rPr>
        <w:t>，建设地点中心坐标经度101.</w:t>
      </w:r>
      <w:r>
        <w:rPr>
          <w:rFonts w:hint="eastAsia" w:ascii="仿宋_GB2312" w:hAnsi="仿宋_GB2312" w:eastAsia="仿宋_GB2312" w:cs="仿宋_GB2312"/>
          <w:sz w:val="32"/>
          <w:szCs w:val="32"/>
          <w:lang w:val="en-US" w:eastAsia="zh-CN"/>
        </w:rPr>
        <w:t>250832</w:t>
      </w:r>
      <w:r>
        <w:rPr>
          <w:rFonts w:hint="eastAsia" w:ascii="仿宋_GB2312" w:hAnsi="仿宋_GB2312" w:eastAsia="仿宋_GB2312" w:cs="仿宋_GB2312"/>
          <w:sz w:val="32"/>
          <w:szCs w:val="32"/>
        </w:rPr>
        <w:t>，纬度37.</w:t>
      </w:r>
      <w:r>
        <w:rPr>
          <w:rFonts w:hint="eastAsia" w:ascii="仿宋_GB2312" w:hAnsi="仿宋_GB2312" w:eastAsia="仿宋_GB2312" w:cs="仿宋_GB2312"/>
          <w:sz w:val="32"/>
          <w:szCs w:val="32"/>
          <w:lang w:val="en-US" w:eastAsia="zh-CN"/>
        </w:rPr>
        <w:t>272985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项目总占地面积</w:t>
      </w:r>
      <w:r>
        <w:rPr>
          <w:rFonts w:hint="eastAsia" w:ascii="仿宋_GB2312" w:hAnsi="仿宋_GB2312" w:eastAsia="仿宋_GB2312" w:cs="仿宋_GB2312"/>
          <w:sz w:val="32"/>
          <w:szCs w:val="32"/>
          <w:lang w:val="en-US" w:eastAsia="zh-CN"/>
        </w:rPr>
        <w:t>27081.8</w:t>
      </w:r>
      <w:r>
        <w:rPr>
          <w:rFonts w:hint="eastAsia" w:ascii="仿宋_GB2312" w:hAnsi="仿宋_GB2312" w:eastAsia="仿宋_GB2312" w:cs="仿宋_GB2312"/>
          <w:sz w:val="32"/>
          <w:szCs w:val="32"/>
        </w:rPr>
        <w:t>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lang w:val="en-US" w:eastAsia="zh-CN"/>
        </w:rPr>
        <w:t>，总建筑面积1340.9</w:t>
      </w:r>
      <w:r>
        <w:rPr>
          <w:rFonts w:hint="eastAsia" w:ascii="仿宋_GB2312" w:hAnsi="仿宋_GB2312" w:eastAsia="仿宋_GB2312" w:cs="仿宋_GB2312"/>
          <w:sz w:val="32"/>
          <w:szCs w:val="32"/>
        </w:rPr>
        <w:t>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新建</w:t>
      </w:r>
      <w:r>
        <w:rPr>
          <w:rFonts w:hint="eastAsia" w:ascii="仿宋_GB2312" w:hAnsi="仿宋_GB2312" w:eastAsia="仿宋_GB2312" w:cs="仿宋_GB2312"/>
          <w:sz w:val="32"/>
          <w:szCs w:val="32"/>
          <w:lang w:eastAsia="zh-CN"/>
        </w:rPr>
        <w:t>交易中心</w:t>
      </w:r>
      <w:r>
        <w:rPr>
          <w:rFonts w:hint="eastAsia" w:ascii="仿宋_GB2312" w:hAnsi="仿宋_GB2312" w:eastAsia="仿宋_GB2312" w:cs="仿宋_GB2312"/>
          <w:sz w:val="32"/>
          <w:szCs w:val="32"/>
          <w:lang w:val="en-US" w:eastAsia="zh-CN"/>
        </w:rPr>
        <w:t>301.99</w:t>
      </w:r>
      <w:r>
        <w:rPr>
          <w:rFonts w:hint="eastAsia" w:ascii="仿宋_GB2312" w:hAnsi="仿宋_GB2312" w:eastAsia="仿宋_GB2312" w:cs="仿宋_GB2312"/>
          <w:sz w:val="32"/>
          <w:szCs w:val="32"/>
        </w:rPr>
        <w:t>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lang w:eastAsia="zh-CN"/>
        </w:rPr>
        <w:t>、草料棚</w:t>
      </w:r>
      <w:r>
        <w:rPr>
          <w:rFonts w:hint="eastAsia" w:ascii="仿宋_GB2312" w:hAnsi="仿宋_GB2312" w:eastAsia="仿宋_GB2312" w:cs="仿宋_GB2312"/>
          <w:sz w:val="32"/>
          <w:szCs w:val="32"/>
          <w:lang w:val="en-US" w:eastAsia="zh-CN"/>
        </w:rPr>
        <w:t>139.73</w:t>
      </w:r>
      <w:r>
        <w:rPr>
          <w:rFonts w:hint="eastAsia" w:ascii="仿宋_GB2312" w:hAnsi="仿宋_GB2312" w:eastAsia="仿宋_GB2312" w:cs="仿宋_GB2312"/>
          <w:sz w:val="32"/>
          <w:szCs w:val="32"/>
        </w:rPr>
        <w:t>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lang w:eastAsia="zh-CN"/>
        </w:rPr>
        <w:t>、羊棚</w:t>
      </w:r>
      <w:r>
        <w:rPr>
          <w:rFonts w:hint="eastAsia" w:ascii="仿宋_GB2312" w:hAnsi="仿宋_GB2312" w:eastAsia="仿宋_GB2312" w:cs="仿宋_GB2312"/>
          <w:sz w:val="32"/>
          <w:szCs w:val="32"/>
          <w:lang w:val="en-US" w:eastAsia="zh-CN"/>
        </w:rPr>
        <w:t>300.6</w:t>
      </w:r>
      <w:r>
        <w:rPr>
          <w:rFonts w:hint="eastAsia" w:ascii="仿宋_GB2312" w:hAnsi="仿宋_GB2312" w:eastAsia="仿宋_GB2312" w:cs="仿宋_GB2312"/>
          <w:sz w:val="32"/>
          <w:szCs w:val="32"/>
        </w:rPr>
        <w:t>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lang w:eastAsia="zh-CN"/>
        </w:rPr>
        <w:t>、牛棚</w:t>
      </w:r>
      <w:r>
        <w:rPr>
          <w:rFonts w:hint="eastAsia" w:ascii="仿宋_GB2312" w:hAnsi="仿宋_GB2312" w:eastAsia="仿宋_GB2312" w:cs="仿宋_GB2312"/>
          <w:sz w:val="32"/>
          <w:szCs w:val="32"/>
          <w:lang w:val="en-US" w:eastAsia="zh-CN"/>
        </w:rPr>
        <w:t>300.39</w:t>
      </w:r>
      <w:r>
        <w:rPr>
          <w:rFonts w:hint="eastAsia" w:ascii="仿宋_GB2312" w:hAnsi="仿宋_GB2312" w:eastAsia="仿宋_GB2312" w:cs="仿宋_GB2312"/>
          <w:sz w:val="32"/>
          <w:szCs w:val="32"/>
        </w:rPr>
        <w:t>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lang w:eastAsia="zh-CN"/>
        </w:rPr>
        <w:t>、地磅房</w:t>
      </w:r>
      <w:r>
        <w:rPr>
          <w:rFonts w:hint="eastAsia" w:ascii="仿宋_GB2312" w:hAnsi="仿宋_GB2312" w:eastAsia="仿宋_GB2312" w:cs="仿宋_GB2312"/>
          <w:sz w:val="32"/>
          <w:szCs w:val="32"/>
          <w:lang w:val="en-US" w:eastAsia="zh-CN"/>
        </w:rPr>
        <w:t>133.68</w:t>
      </w:r>
      <w:r>
        <w:rPr>
          <w:rFonts w:hint="eastAsia" w:ascii="仿宋_GB2312" w:hAnsi="仿宋_GB2312" w:eastAsia="仿宋_GB2312" w:cs="仿宋_GB2312"/>
          <w:sz w:val="32"/>
          <w:szCs w:val="32"/>
        </w:rPr>
        <w:t>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lang w:eastAsia="zh-CN"/>
        </w:rPr>
        <w:t>、储粪场</w:t>
      </w:r>
      <w:r>
        <w:rPr>
          <w:rFonts w:hint="eastAsia" w:ascii="仿宋_GB2312" w:hAnsi="仿宋_GB2312" w:eastAsia="仿宋_GB2312" w:cs="仿宋_GB2312"/>
          <w:sz w:val="32"/>
          <w:szCs w:val="32"/>
          <w:lang w:val="en-US" w:eastAsia="zh-CN"/>
        </w:rPr>
        <w:t>135.31</w:t>
      </w:r>
      <w:r>
        <w:rPr>
          <w:rFonts w:hint="eastAsia" w:ascii="仿宋_GB2312" w:hAnsi="仿宋_GB2312" w:eastAsia="仿宋_GB2312" w:cs="仿宋_GB2312"/>
          <w:sz w:val="32"/>
          <w:szCs w:val="32"/>
        </w:rPr>
        <w:t>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lang w:eastAsia="zh-CN"/>
        </w:rPr>
        <w:t>、门卫室</w:t>
      </w:r>
      <w:r>
        <w:rPr>
          <w:rFonts w:hint="eastAsia" w:ascii="仿宋_GB2312" w:hAnsi="仿宋_GB2312" w:eastAsia="仿宋_GB2312" w:cs="仿宋_GB2312"/>
          <w:sz w:val="32"/>
          <w:szCs w:val="32"/>
          <w:lang w:val="en-US" w:eastAsia="zh-CN"/>
        </w:rPr>
        <w:t>29.2</w:t>
      </w:r>
      <w:r>
        <w:rPr>
          <w:rFonts w:hint="eastAsia" w:ascii="仿宋_GB2312" w:hAnsi="仿宋_GB2312" w:eastAsia="仿宋_GB2312" w:cs="仿宋_GB2312"/>
          <w:sz w:val="32"/>
          <w:szCs w:val="32"/>
        </w:rPr>
        <w:t>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lang w:eastAsia="zh-CN"/>
        </w:rPr>
        <w:t>、道路硬化</w:t>
      </w:r>
      <w:r>
        <w:rPr>
          <w:rFonts w:hint="eastAsia" w:ascii="仿宋_GB2312" w:hAnsi="仿宋_GB2312" w:eastAsia="仿宋_GB2312" w:cs="仿宋_GB2312"/>
          <w:sz w:val="32"/>
          <w:szCs w:val="32"/>
          <w:lang w:val="en-US" w:eastAsia="zh-CN"/>
        </w:rPr>
        <w:t>800</w:t>
      </w:r>
      <w:r>
        <w:rPr>
          <w:rFonts w:hint="eastAsia" w:ascii="仿宋_GB2312" w:hAnsi="仿宋_GB2312" w:eastAsia="仿宋_GB2312" w:cs="仿宋_GB2312"/>
          <w:sz w:val="32"/>
          <w:szCs w:val="32"/>
        </w:rPr>
        <w:t>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lang w:val="en-US" w:eastAsia="zh-CN"/>
        </w:rPr>
        <w:t>、栏杆238.9</w:t>
      </w:r>
      <w:r>
        <w:rPr>
          <w:rFonts w:hint="eastAsia" w:ascii="仿宋_GB2312" w:hAnsi="仿宋_GB2312" w:eastAsia="仿宋_GB2312" w:cs="仿宋_GB2312"/>
          <w:sz w:val="32"/>
          <w:szCs w:val="32"/>
        </w:rPr>
        <w:t>m</w:t>
      </w:r>
      <w:r>
        <w:rPr>
          <w:rFonts w:hint="eastAsia" w:ascii="仿宋_GB2312" w:hAnsi="仿宋_GB2312" w:eastAsia="仿宋_GB2312" w:cs="仿宋_GB2312"/>
          <w:sz w:val="32"/>
          <w:szCs w:val="32"/>
          <w:lang w:eastAsia="zh-CN"/>
        </w:rPr>
        <w:t>、铁艺围墙</w:t>
      </w:r>
      <w:r>
        <w:rPr>
          <w:rFonts w:hint="eastAsia" w:ascii="仿宋_GB2312" w:hAnsi="仿宋_GB2312" w:eastAsia="仿宋_GB2312" w:cs="仿宋_GB2312"/>
          <w:sz w:val="32"/>
          <w:szCs w:val="32"/>
          <w:lang w:val="en-US" w:eastAsia="zh-CN"/>
        </w:rPr>
        <w:t>775.6m、绿化2961.9</w:t>
      </w:r>
      <w:r>
        <w:rPr>
          <w:rFonts w:hint="eastAsia" w:ascii="仿宋_GB2312" w:hAnsi="仿宋_GB2312" w:eastAsia="仿宋_GB2312" w:cs="仿宋_GB2312"/>
          <w:sz w:val="32"/>
          <w:szCs w:val="32"/>
        </w:rPr>
        <w:t>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购置交易信息平台1项、LED设备1套、检疫设备1套、大型电子磅秤1台、电动伸缩门1套，新建A</w:t>
      </w:r>
      <w:r>
        <w:rPr>
          <w:rFonts w:hint="eastAsia" w:ascii="仿宋_GB2312" w:hAnsi="仿宋_GB2312" w:eastAsia="仿宋_GB2312" w:cs="仿宋_GB2312"/>
          <w:sz w:val="32"/>
          <w:szCs w:val="32"/>
          <w:vertAlign w:val="superscript"/>
          <w:lang w:val="en-US" w:eastAsia="zh-CN"/>
        </w:rPr>
        <w:t>2</w:t>
      </w:r>
      <w:r>
        <w:rPr>
          <w:rFonts w:hint="eastAsia" w:ascii="仿宋_GB2312" w:hAnsi="仿宋_GB2312" w:eastAsia="仿宋_GB2312" w:cs="仿宋_GB2312"/>
          <w:sz w:val="32"/>
          <w:szCs w:val="32"/>
          <w:lang w:val="en-US" w:eastAsia="zh-CN"/>
        </w:rPr>
        <w:t>/O一体化设备处理系统。</w:t>
      </w:r>
      <w:r>
        <w:rPr>
          <w:rFonts w:hint="eastAsia" w:ascii="仿宋_GB2312" w:hAnsi="仿宋_GB2312" w:eastAsia="仿宋_GB2312" w:cs="仿宋_GB2312"/>
          <w:sz w:val="32"/>
          <w:szCs w:val="32"/>
          <w:lang w:eastAsia="zh-CN"/>
        </w:rPr>
        <w:t>年交易牛</w:t>
      </w:r>
      <w:r>
        <w:rPr>
          <w:rFonts w:hint="eastAsia" w:ascii="仿宋_GB2312" w:hAnsi="仿宋_GB2312" w:eastAsia="仿宋_GB2312" w:cs="仿宋_GB2312"/>
          <w:sz w:val="32"/>
          <w:szCs w:val="32"/>
          <w:lang w:val="en-US" w:eastAsia="zh-CN"/>
        </w:rPr>
        <w:t>1万头、羊3万只</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总投资</w:t>
      </w:r>
      <w:r>
        <w:rPr>
          <w:rFonts w:hint="eastAsia" w:ascii="仿宋_GB2312" w:hAnsi="仿宋_GB2312" w:eastAsia="仿宋_GB2312" w:cs="仿宋_GB2312"/>
          <w:sz w:val="32"/>
          <w:szCs w:val="32"/>
          <w:lang w:val="en-US" w:eastAsia="zh-CN"/>
        </w:rPr>
        <w:t>560</w:t>
      </w:r>
      <w:r>
        <w:rPr>
          <w:rFonts w:hint="eastAsia" w:ascii="仿宋_GB2312" w:hAnsi="仿宋_GB2312" w:eastAsia="仿宋_GB2312" w:cs="仿宋_GB2312"/>
          <w:sz w:val="32"/>
          <w:szCs w:val="32"/>
        </w:rPr>
        <w:t>万元，其中环保</w:t>
      </w:r>
      <w:r>
        <w:rPr>
          <w:rFonts w:hint="eastAsia" w:ascii="仿宋_GB2312" w:hAnsi="仿宋_GB2312" w:eastAsia="仿宋_GB2312" w:cs="仿宋_GB2312"/>
          <w:sz w:val="32"/>
          <w:szCs w:val="32"/>
          <w:lang w:eastAsia="zh-CN"/>
        </w:rPr>
        <w:t>投资估算</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40.3</w:t>
      </w:r>
      <w:r>
        <w:rPr>
          <w:rFonts w:hint="eastAsia" w:ascii="仿宋_GB2312" w:hAnsi="仿宋_GB2312" w:eastAsia="仿宋_GB2312" w:cs="仿宋_GB2312"/>
          <w:sz w:val="32"/>
          <w:szCs w:val="32"/>
        </w:rPr>
        <w:t>万元，占总投资的</w:t>
      </w:r>
      <w:r>
        <w:rPr>
          <w:rFonts w:hint="eastAsia" w:ascii="仿宋_GB2312" w:hAnsi="仿宋_GB2312" w:eastAsia="仿宋_GB2312" w:cs="仿宋_GB2312"/>
          <w:sz w:val="32"/>
          <w:szCs w:val="32"/>
          <w:lang w:val="en-US" w:eastAsia="zh-CN"/>
        </w:rPr>
        <w:t>7.2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sz w:val="32"/>
          <w:szCs w:val="32"/>
        </w:rPr>
        <w:t>符合国家产业政策，我局同意你</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按照《报告表》中所列项目的性质、规模、地点和拟采取的环境保护措施进行建设。</w:t>
      </w:r>
    </w:p>
    <w:p>
      <w:pPr>
        <w:keepNext w:val="0"/>
        <w:keepLines w:val="0"/>
        <w:pageBreakBefore w:val="0"/>
        <w:widowControl w:val="0"/>
        <w:kinsoku/>
        <w:overflowPunct/>
        <w:topLinePunct w:val="0"/>
        <w:autoSpaceDE/>
        <w:autoSpaceDN/>
        <w:bidi w:val="0"/>
        <w:adjustRightInd/>
        <w:snapToGrid/>
        <w:spacing w:line="576" w:lineRule="exact"/>
        <w:ind w:firstLine="643" w:firstLineChars="200"/>
        <w:textAlignment w:val="auto"/>
        <w:rPr>
          <w:rFonts w:ascii="黑体" w:hAnsi="黑体" w:eastAsia="黑体" w:cs="黑体"/>
          <w:b/>
          <w:bCs/>
          <w:sz w:val="32"/>
          <w:szCs w:val="32"/>
        </w:rPr>
      </w:pPr>
      <w:r>
        <w:rPr>
          <w:rFonts w:hint="eastAsia" w:ascii="黑体" w:hAnsi="黑体" w:eastAsia="黑体" w:cs="黑体"/>
          <w:b/>
          <w:bCs/>
          <w:sz w:val="32"/>
          <w:szCs w:val="32"/>
        </w:rPr>
        <w:t>二、项目建设及生产管理中应重点做好以下工作</w:t>
      </w:r>
    </w:p>
    <w:p>
      <w:pPr>
        <w:keepNext w:val="0"/>
        <w:keepLines w:val="0"/>
        <w:pageBreakBefore w:val="0"/>
        <w:widowControl w:val="0"/>
        <w:kinsoku/>
        <w:overflowPunct/>
        <w:topLinePunct w:val="0"/>
        <w:autoSpaceDE/>
        <w:autoSpaceDN/>
        <w:bidi w:val="0"/>
        <w:adjustRightInd/>
        <w:snapToGrid/>
        <w:spacing w:line="576"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（一）严格落实大气环境保护措施</w:t>
      </w:r>
    </w:p>
    <w:p>
      <w:pPr>
        <w:keepNext w:val="0"/>
        <w:keepLines w:val="0"/>
        <w:pageBreakBefore w:val="0"/>
        <w:widowControl w:val="0"/>
        <w:kinsoku/>
        <w:overflowPunct/>
        <w:topLinePunct w:val="0"/>
        <w:autoSpaceDE/>
        <w:autoSpaceDN/>
        <w:bidi w:val="0"/>
        <w:adjustRightInd/>
        <w:snapToGrid/>
        <w:spacing w:line="57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项目施工期采取洒水降尘、车辆限速、设置硬质围档、防尘布遮盖等措施，减少施工扬尘。</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运营期通过及时清理棚圈、加强通风、清运粪便、清洗粪车等措施有效控制恶臭污染源，并通过距离防护、定期喷洒双氧水、场界四周绿化等措施进行防护。项目在运营期执行《恶臭污染物排放标准》（</w:t>
      </w:r>
      <w:r>
        <w:rPr>
          <w:rFonts w:hint="eastAsia" w:ascii="仿宋_GB2312" w:hAnsi="仿宋_GB2312" w:eastAsia="仿宋_GB2312" w:cs="仿宋_GB2312"/>
          <w:sz w:val="32"/>
          <w:szCs w:val="32"/>
          <w:lang w:val="en-US" w:eastAsia="zh-CN"/>
        </w:rPr>
        <w:t>GB14554-93）中无组织排放厂界标准值二级要求，</w:t>
      </w:r>
      <w:r>
        <w:rPr>
          <w:rFonts w:hint="eastAsia" w:ascii="仿宋_GB2312" w:hAnsi="仿宋_GB2312" w:eastAsia="仿宋_GB2312" w:cs="仿宋_GB2312"/>
          <w:sz w:val="32"/>
          <w:szCs w:val="32"/>
          <w:lang w:eastAsia="zh-CN"/>
        </w:rPr>
        <w:t>恶臭污染物排放浓度执行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畜禽养殖业污染物</w:t>
      </w:r>
      <w:r>
        <w:rPr>
          <w:rFonts w:hint="eastAsia" w:ascii="仿宋_GB2312" w:hAnsi="仿宋_GB2312" w:eastAsia="仿宋_GB2312" w:cs="仿宋_GB2312"/>
          <w:sz w:val="32"/>
          <w:szCs w:val="32"/>
        </w:rPr>
        <w:t>排放标准》(GB1</w:t>
      </w:r>
      <w:r>
        <w:rPr>
          <w:rFonts w:hint="eastAsia" w:ascii="仿宋_GB2312" w:hAnsi="仿宋_GB2312" w:eastAsia="仿宋_GB2312" w:cs="仿宋_GB2312"/>
          <w:sz w:val="32"/>
          <w:szCs w:val="32"/>
          <w:lang w:val="en-US" w:eastAsia="zh-CN"/>
        </w:rPr>
        <w:t>8596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2001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中</w:t>
      </w:r>
      <w:r>
        <w:rPr>
          <w:rFonts w:hint="eastAsia" w:ascii="仿宋_GB2312" w:hAnsi="仿宋_GB2312" w:eastAsia="仿宋_GB2312" w:cs="仿宋_GB2312"/>
          <w:sz w:val="32"/>
          <w:szCs w:val="32"/>
          <w:lang w:eastAsia="zh-CN"/>
        </w:rPr>
        <w:t>的限值要求</w:t>
      </w:r>
      <w:r>
        <w:rPr>
          <w:rFonts w:hint="eastAsia" w:ascii="仿宋_GB2312" w:hAnsi="仿宋_GB2312" w:eastAsia="仿宋_GB2312" w:cs="仿宋_GB2312"/>
          <w:sz w:val="32"/>
          <w:szCs w:val="32"/>
        </w:rPr>
        <w:t xml:space="preserve">。             </w:t>
      </w:r>
    </w:p>
    <w:p>
      <w:pPr>
        <w:keepNext w:val="0"/>
        <w:keepLines w:val="0"/>
        <w:pageBreakBefore w:val="0"/>
        <w:widowControl w:val="0"/>
        <w:kinsoku/>
        <w:overflowPunct/>
        <w:topLinePunct w:val="0"/>
        <w:autoSpaceDE/>
        <w:autoSpaceDN/>
        <w:bidi w:val="0"/>
        <w:adjustRightInd/>
        <w:snapToGrid/>
        <w:spacing w:line="576"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（二）严格落实水环境保护措施</w:t>
      </w:r>
    </w:p>
    <w:p>
      <w:pPr>
        <w:keepNext w:val="0"/>
        <w:keepLines w:val="0"/>
        <w:pageBreakBefore w:val="0"/>
        <w:widowControl w:val="0"/>
        <w:kinsoku/>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项目施工期产生的机械冲洗和车辆冲洗废水，经简易沉淀后回用，不外排；施工人员产生的生活废水，用于场地泼洒降尘，不外排。</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运营期产业的畜禽粪污废水、大棚及牲畜装卸区冲洗废水、生活污水经</w:t>
      </w: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vertAlign w:val="superscript"/>
          <w:lang w:val="en-US" w:eastAsia="zh-CN"/>
        </w:rPr>
        <w:t>2</w:t>
      </w:r>
      <w:r>
        <w:rPr>
          <w:rFonts w:hint="eastAsia" w:ascii="仿宋_GB2312" w:hAnsi="仿宋_GB2312" w:eastAsia="仿宋_GB2312" w:cs="仿宋_GB2312"/>
          <w:sz w:val="32"/>
          <w:szCs w:val="32"/>
          <w:lang w:val="en-US" w:eastAsia="zh-CN"/>
        </w:rPr>
        <w:t>/O一体化设备处理后定期组织吸粪车运送至门源县污水处理厂排放处理，执行《城镇生活污水处理厂污染物排放标准》（GB18918-2002)一级B标准进水水质要求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污水收集及输送管道进行防渗处理，执行《污水综合排放标准》（</w:t>
      </w:r>
      <w:r>
        <w:rPr>
          <w:rFonts w:hint="eastAsia" w:ascii="仿宋_GB2312" w:hAnsi="仿宋_GB2312" w:eastAsia="仿宋_GB2312" w:cs="仿宋_GB2312"/>
          <w:sz w:val="32"/>
          <w:szCs w:val="32"/>
          <w:lang w:val="en-US" w:eastAsia="zh-CN"/>
        </w:rPr>
        <w:t>GB8978-1996）表4中的三级标准。项目区域排水采取雨污分流，雨水经汇集后排入雨水管道排至场外，</w:t>
      </w:r>
      <w:r>
        <w:rPr>
          <w:rFonts w:hint="eastAsia" w:ascii="仿宋_GB2312" w:hAnsi="仿宋_GB2312" w:eastAsia="仿宋_GB2312" w:cs="仿宋_GB2312"/>
          <w:sz w:val="32"/>
          <w:szCs w:val="32"/>
          <w:lang w:eastAsia="zh-CN"/>
        </w:rPr>
        <w:t>项目区所有可能</w:t>
      </w:r>
      <w:r>
        <w:rPr>
          <w:rFonts w:hint="eastAsia" w:ascii="仿宋_GB2312" w:hAnsi="仿宋_GB2312" w:eastAsia="仿宋_GB2312" w:cs="仿宋_GB2312"/>
          <w:sz w:val="32"/>
          <w:szCs w:val="32"/>
          <w:lang w:val="en-US" w:eastAsia="zh-CN"/>
        </w:rPr>
        <w:t>洒落及产生畜禽粪便的场所包括暂养棚、交易中心、装卸区、洗车区等均设立顶棚，不允许露天设置，地面采取防渗处理，避免经雨水冲刷将污染物带入水体和污染地下水。</w:t>
      </w:r>
    </w:p>
    <w:p>
      <w:pPr>
        <w:keepNext w:val="0"/>
        <w:keepLines w:val="0"/>
        <w:pageBreakBefore w:val="0"/>
        <w:widowControl w:val="0"/>
        <w:kinsoku/>
        <w:overflowPunct/>
        <w:topLinePunct w:val="0"/>
        <w:autoSpaceDE/>
        <w:autoSpaceDN/>
        <w:bidi w:val="0"/>
        <w:adjustRightInd/>
        <w:snapToGrid/>
        <w:spacing w:line="576"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（三）严格落实噪声污染控制措施</w:t>
      </w:r>
    </w:p>
    <w:p>
      <w:pPr>
        <w:keepNext w:val="0"/>
        <w:keepLines w:val="0"/>
        <w:pageBreakBefore w:val="0"/>
        <w:widowControl w:val="0"/>
        <w:kinsoku/>
        <w:overflowPunct/>
        <w:topLinePunct w:val="0"/>
        <w:autoSpaceDE/>
        <w:autoSpaceDN/>
        <w:bidi w:val="0"/>
        <w:adjustRightInd/>
        <w:snapToGrid/>
        <w:spacing w:line="57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项目施工期通过选择低噪声设备、禁止夜间高噪声施工、对高噪声设备安装减振基础、增加隔声消声设施等措施，尽量减少施工期对周围声环境的影响。项目</w:t>
      </w:r>
      <w:r>
        <w:rPr>
          <w:rFonts w:hint="eastAsia" w:ascii="仿宋_GB2312" w:hAnsi="仿宋_GB2312" w:eastAsia="仿宋_GB2312" w:cs="仿宋_GB2312"/>
          <w:sz w:val="32"/>
          <w:szCs w:val="32"/>
        </w:rPr>
        <w:t>运营期噪声</w:t>
      </w:r>
      <w:r>
        <w:rPr>
          <w:rFonts w:hint="eastAsia" w:ascii="仿宋_GB2312" w:hAnsi="仿宋_GB2312" w:eastAsia="仿宋_GB2312" w:cs="仿宋_GB2312"/>
          <w:sz w:val="32"/>
          <w:szCs w:val="32"/>
          <w:lang w:eastAsia="zh-CN"/>
        </w:rPr>
        <w:t>主要为社会生活噪声、畜禽叫声和交通噪声等，通过建筑物墙壁阻隔和绿化带消声来控制。运营期场界噪声</w:t>
      </w:r>
      <w:r>
        <w:rPr>
          <w:rFonts w:hint="eastAsia" w:ascii="仿宋_GB2312" w:hAnsi="仿宋_GB2312" w:eastAsia="仿宋_GB2312" w:cs="仿宋_GB2312"/>
          <w:sz w:val="32"/>
          <w:szCs w:val="32"/>
        </w:rPr>
        <w:t>执行《工业企业厂界环境噪声排放标准》(GB12348-2008)中的</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eastAsia="zh-CN"/>
        </w:rPr>
        <w:t>标准值</w:t>
      </w:r>
      <w:r>
        <w:rPr>
          <w:rFonts w:hint="eastAsia" w:ascii="仿宋_GB2312" w:hAnsi="仿宋_GB2312" w:eastAsia="仿宋_GB2312" w:cs="仿宋_GB2312"/>
          <w:sz w:val="32"/>
          <w:szCs w:val="32"/>
        </w:rPr>
        <w:t>。</w:t>
      </w:r>
    </w:p>
    <w:p>
      <w:pPr>
        <w:keepNext w:val="0"/>
        <w:keepLines w:val="0"/>
        <w:pageBreakBefore w:val="0"/>
        <w:widowControl w:val="0"/>
        <w:kinsoku/>
        <w:overflowPunct/>
        <w:topLinePunct w:val="0"/>
        <w:autoSpaceDE/>
        <w:autoSpaceDN/>
        <w:bidi w:val="0"/>
        <w:adjustRightInd/>
        <w:snapToGrid/>
        <w:spacing w:line="576"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（四）严格落实固体废物污染控制措施</w:t>
      </w:r>
    </w:p>
    <w:p>
      <w:pPr>
        <w:keepNext w:val="0"/>
        <w:keepLines w:val="0"/>
        <w:pageBreakBefore w:val="0"/>
        <w:widowControl w:val="0"/>
        <w:kinsoku/>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项目施工期加强固体废物管理，对临时堆存的建筑垃圾、工程渣土等做好防护措施，避免雨水冲刷带入水体，施工期间产生的固体废物运至垃圾填埋场处理，生活垃圾定点收集后交由环卫部门统一清运处置。项目</w:t>
      </w:r>
      <w:r>
        <w:rPr>
          <w:rFonts w:hint="eastAsia" w:ascii="仿宋_GB2312" w:hAnsi="仿宋_GB2312" w:eastAsia="仿宋_GB2312" w:cs="仿宋_GB2312"/>
          <w:sz w:val="32"/>
          <w:szCs w:val="32"/>
        </w:rPr>
        <w:t>运营期</w:t>
      </w:r>
      <w:r>
        <w:rPr>
          <w:rFonts w:hint="eastAsia" w:ascii="仿宋_GB2312" w:hAnsi="仿宋_GB2312" w:eastAsia="仿宋_GB2312" w:cs="仿宋_GB2312"/>
          <w:sz w:val="32"/>
          <w:szCs w:val="32"/>
          <w:lang w:eastAsia="zh-CN"/>
        </w:rPr>
        <w:t>产生的畜禽粪便，人工清运至粪污堆放场临时堆存，做到日产日清</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lang w:eastAsia="zh-CN"/>
        </w:rPr>
        <w:t>定期交由当地有机肥加工厂进行加工利用，不得长期堆存。</w:t>
      </w:r>
      <w:r>
        <w:rPr>
          <w:rFonts w:hint="eastAsia" w:ascii="仿宋_GB2312" w:hAnsi="仿宋_GB2312" w:eastAsia="仿宋_GB2312" w:cs="仿宋_GB2312"/>
          <w:sz w:val="32"/>
          <w:szCs w:val="32"/>
          <w:lang w:val="en-US" w:eastAsia="zh-CN"/>
        </w:rPr>
        <w:t>粪污堆放场设置顶棚，底部和侧面均进行防渗处理。产生的生活垃圾及沉淀池污泥集中收集后，委托环卫部门定期清运。项目运营期间危险废物执行《危险废物贮存污染控制标准》（GB18597-2001）及2013年修改通知中的相关规定要求，其他固体废物处置执行《一般工业固体废物贮存、处置场污染控制标准》（GB18599-2001)。</w:t>
      </w:r>
    </w:p>
    <w:p>
      <w:pPr>
        <w:keepNext w:val="0"/>
        <w:keepLines w:val="0"/>
        <w:pageBreakBefore w:val="0"/>
        <w:widowControl w:val="0"/>
        <w:kinsoku/>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bCs/>
          <w:sz w:val="32"/>
          <w:szCs w:val="32"/>
          <w:lang w:val="en-US" w:eastAsia="zh-CN"/>
        </w:rPr>
        <w:t>三、</w:t>
      </w:r>
      <w:r>
        <w:rPr>
          <w:rFonts w:hint="eastAsia" w:ascii="仿宋_GB2312" w:hAnsi="仿宋_GB2312" w:eastAsia="仿宋_GB2312" w:cs="仿宋_GB2312"/>
          <w:sz w:val="32"/>
          <w:szCs w:val="32"/>
          <w:lang w:val="en-US" w:eastAsia="zh-CN"/>
        </w:rPr>
        <w:t>项目建设必须严格执行环保设施与主体工程同时设计、同时施工、同时投入运行的“三同时”制度。工程竣工后，必须按照《建设项目竣工环境保护验收管理办法》的规定，自行组织项目竣工环境保护验收并向</w:t>
      </w:r>
      <w:r>
        <w:rPr>
          <w:rFonts w:hint="eastAsia" w:ascii="仿宋_GB2312" w:hAnsi="仿宋_GB2312" w:eastAsia="仿宋_GB2312" w:cs="仿宋_GB2312"/>
          <w:sz w:val="32"/>
          <w:szCs w:val="32"/>
        </w:rPr>
        <w:t>我局备案</w:t>
      </w:r>
      <w:r>
        <w:rPr>
          <w:rFonts w:hint="eastAsia" w:ascii="仿宋_GB2312" w:hAnsi="仿宋_GB2312" w:eastAsia="仿宋_GB2312" w:cs="仿宋_GB2312"/>
          <w:sz w:val="32"/>
          <w:szCs w:val="32"/>
          <w:lang w:val="en-US" w:eastAsia="zh-CN"/>
        </w:rPr>
        <w:t>，验收合格后方可正式投入运营。</w:t>
      </w:r>
    </w:p>
    <w:p>
      <w:pPr>
        <w:keepNext w:val="0"/>
        <w:keepLines w:val="0"/>
        <w:pageBreakBefore w:val="0"/>
        <w:widowControl w:val="0"/>
        <w:kinsoku/>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bCs/>
          <w:sz w:val="32"/>
          <w:szCs w:val="32"/>
          <w:lang w:val="en-US" w:eastAsia="zh-CN"/>
        </w:rPr>
        <w:t>四、</w:t>
      </w:r>
      <w:r>
        <w:rPr>
          <w:rFonts w:hint="eastAsia" w:ascii="仿宋_GB2312" w:hAnsi="仿宋_GB2312" w:eastAsia="仿宋_GB2312" w:cs="仿宋_GB2312"/>
          <w:sz w:val="32"/>
          <w:szCs w:val="32"/>
          <w:lang w:val="en-US" w:eastAsia="zh-CN"/>
        </w:rPr>
        <w:t>你单位应认真履行项目实施中各环节的环保主体责任，监督指导项目设计和施工单位认真落实项目环评及批复提出的各项要求，在工程施工和运行过程中，不得擅自变更项目性质进行牲畜养殖，建立畅通的公众参与平台，及时解决公众担忧的环境问题，满足公众合理的环境诉求。定期发布环境信息，并主动接受社会监督。</w:t>
      </w:r>
    </w:p>
    <w:p>
      <w:pPr>
        <w:keepNext w:val="0"/>
        <w:keepLines w:val="0"/>
        <w:pageBreakBefore w:val="0"/>
        <w:widowControl w:val="0"/>
        <w:kinsoku/>
        <w:overflowPunct/>
        <w:topLinePunct w:val="0"/>
        <w:autoSpaceDE/>
        <w:autoSpaceDN/>
        <w:bidi w:val="0"/>
        <w:adjustRightInd/>
        <w:snapToGrid/>
        <w:spacing w:line="576"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五、</w:t>
      </w:r>
      <w:r>
        <w:rPr>
          <w:rFonts w:hint="eastAsia" w:ascii="仿宋_GB2312" w:hAnsi="仿宋_GB2312" w:eastAsia="仿宋_GB2312" w:cs="仿宋_GB2312"/>
          <w:sz w:val="32"/>
          <w:szCs w:val="32"/>
          <w:lang w:val="en-US" w:eastAsia="zh-CN"/>
        </w:rPr>
        <w:t>该项目环境影响报告表批准后，如工程性质、规模、地点或者污染防治、生态保护措施等发生重大变动，应重新报批环境影响报告表。自环境影响报告表批复文件批准之日起，如超过5年方开工建设，环境影响报告表应当重新报审。你单位接到本批复后按规定接受各级生态环境部门的监督检查。</w:t>
      </w:r>
    </w:p>
    <w:p>
      <w:pPr>
        <w:keepNext w:val="0"/>
        <w:keepLines w:val="0"/>
        <w:pageBreakBefore w:val="0"/>
        <w:widowControl w:val="0"/>
        <w:kinsoku/>
        <w:overflowPunct/>
        <w:topLinePunct w:val="0"/>
        <w:autoSpaceDE/>
        <w:autoSpaceDN/>
        <w:bidi w:val="0"/>
        <w:adjustRightInd/>
        <w:snapToGrid/>
        <w:spacing w:line="576" w:lineRule="exact"/>
        <w:textAlignment w:val="auto"/>
        <w:rPr>
          <w:rFonts w:ascii="楷体_GB2312" w:hAnsi="楷体_GB2312" w:eastAsia="楷体_GB2312" w:cs="楷体_GB2312"/>
          <w:sz w:val="32"/>
          <w:szCs w:val="32"/>
        </w:rPr>
      </w:pPr>
    </w:p>
    <w:p>
      <w:pPr>
        <w:keepNext w:val="0"/>
        <w:keepLines w:val="0"/>
        <w:pageBreakBefore w:val="0"/>
        <w:widowControl w:val="0"/>
        <w:kinsoku/>
        <w:overflowPunct/>
        <w:topLinePunct w:val="0"/>
        <w:autoSpaceDE/>
        <w:autoSpaceDN/>
        <w:bidi w:val="0"/>
        <w:adjustRightInd/>
        <w:snapToGrid/>
        <w:spacing w:line="576" w:lineRule="exact"/>
        <w:textAlignment w:val="auto"/>
        <w:rPr>
          <w:rFonts w:ascii="楷体_GB2312" w:hAnsi="楷体_GB2312" w:eastAsia="楷体_GB2312" w:cs="楷体_GB2312"/>
          <w:sz w:val="32"/>
          <w:szCs w:val="32"/>
        </w:rPr>
      </w:pPr>
    </w:p>
    <w:p>
      <w:pPr>
        <w:keepNext w:val="0"/>
        <w:keepLines w:val="0"/>
        <w:pageBreakBefore w:val="0"/>
        <w:widowControl w:val="0"/>
        <w:kinsoku/>
        <w:overflowPunct/>
        <w:topLinePunct w:val="0"/>
        <w:autoSpaceDE/>
        <w:autoSpaceDN/>
        <w:bidi w:val="0"/>
        <w:adjustRightInd/>
        <w:snapToGrid/>
        <w:spacing w:line="576" w:lineRule="exact"/>
        <w:textAlignment w:val="auto"/>
        <w:rPr>
          <w:rFonts w:ascii="楷体_GB2312" w:hAnsi="楷体_GB2312" w:eastAsia="楷体_GB2312" w:cs="楷体_GB2312"/>
          <w:sz w:val="32"/>
          <w:szCs w:val="32"/>
        </w:rPr>
      </w:pPr>
    </w:p>
    <w:p>
      <w:pPr>
        <w:keepNext w:val="0"/>
        <w:keepLines w:val="0"/>
        <w:pageBreakBefore w:val="0"/>
        <w:widowControl w:val="0"/>
        <w:kinsoku/>
        <w:wordWrap w:val="0"/>
        <w:overflowPunct/>
        <w:topLinePunct w:val="0"/>
        <w:autoSpaceDE/>
        <w:autoSpaceDN/>
        <w:bidi w:val="0"/>
        <w:adjustRightInd/>
        <w:snapToGrid/>
        <w:spacing w:beforeAutospacing="0" w:afterAutospacing="0" w:line="576" w:lineRule="exact"/>
        <w:ind w:left="0" w:leftChars="0" w:firstLine="640" w:firstLineChars="200"/>
        <w:jc w:val="right"/>
        <w:textAlignment w:val="auto"/>
        <w:outlineLvl w:val="9"/>
        <w:rPr>
          <w:rFonts w:hint="default" w:ascii="仿宋_GB2312" w:hAnsi="仿宋" w:eastAsia="仿宋_GB2312"/>
          <w:sz w:val="32"/>
          <w:szCs w:val="32"/>
          <w:lang w:val="en-US" w:eastAsia="zh-CN"/>
        </w:rPr>
      </w:pPr>
      <w:r>
        <w:rPr>
          <w:rFonts w:hint="eastAsia" w:ascii="仿宋_GB2312" w:hAnsi="仿宋" w:eastAsia="仿宋_GB2312"/>
          <w:sz w:val="32"/>
          <w:szCs w:val="32"/>
        </w:rPr>
        <w:t>门源县</w:t>
      </w:r>
      <w:r>
        <w:rPr>
          <w:rFonts w:hint="eastAsia" w:ascii="仿宋_GB2312" w:hAnsi="仿宋" w:eastAsia="仿宋_GB2312"/>
          <w:sz w:val="32"/>
          <w:szCs w:val="32"/>
          <w:lang w:eastAsia="zh-CN"/>
        </w:rPr>
        <w:t>生态</w:t>
      </w:r>
      <w:r>
        <w:rPr>
          <w:rFonts w:hint="eastAsia" w:ascii="仿宋_GB2312" w:hAnsi="仿宋" w:eastAsia="仿宋_GB2312"/>
          <w:sz w:val="32"/>
          <w:szCs w:val="32"/>
        </w:rPr>
        <w:t>环境局</w:t>
      </w:r>
      <w:r>
        <w:rPr>
          <w:rFonts w:hint="eastAsia" w:ascii="仿宋_GB2312" w:hAnsi="仿宋" w:eastAsia="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beforeAutospacing="0" w:afterAutospacing="0" w:line="576" w:lineRule="exact"/>
        <w:ind w:left="0" w:leftChars="0" w:firstLine="640" w:firstLineChars="200"/>
        <w:jc w:val="right"/>
        <w:textAlignment w:val="auto"/>
        <w:outlineLvl w:val="9"/>
      </w:pPr>
      <w:r>
        <w:rPr>
          <w:rFonts w:hint="eastAsia"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w:t>
      </w:r>
      <w:r>
        <w:rPr>
          <w:rFonts w:hint="eastAsia" w:ascii="仿宋_GB2312" w:hAnsi="仿宋" w:eastAsia="仿宋_GB2312"/>
          <w:sz w:val="32"/>
          <w:szCs w:val="32"/>
          <w:lang w:val="en-US" w:eastAsia="zh-CN"/>
        </w:rPr>
        <w:t>12</w:t>
      </w:r>
      <w:r>
        <w:rPr>
          <w:rFonts w:hint="eastAsia" w:ascii="仿宋_GB2312" w:hAnsi="仿宋" w:eastAsia="仿宋_GB2312"/>
          <w:sz w:val="32"/>
          <w:szCs w:val="32"/>
        </w:rPr>
        <w:t>月</w:t>
      </w:r>
      <w:r>
        <w:rPr>
          <w:rFonts w:hint="eastAsia" w:ascii="仿宋_GB2312" w:hAnsi="仿宋" w:eastAsia="仿宋_GB2312"/>
          <w:sz w:val="32"/>
          <w:szCs w:val="32"/>
          <w:lang w:val="en-US" w:eastAsia="zh-CN"/>
        </w:rPr>
        <w:t>28</w:t>
      </w:r>
      <w:r>
        <w:rPr>
          <w:rFonts w:hint="eastAsia" w:ascii="仿宋_GB2312" w:hAnsi="仿宋" w:eastAsia="仿宋_GB2312"/>
          <w:sz w:val="32"/>
          <w:szCs w:val="32"/>
        </w:rPr>
        <w:t>日</w:t>
      </w:r>
      <w:r>
        <w:rPr>
          <w:rFonts w:hint="eastAsia" w:ascii="仿宋_GB2312" w:hAnsi="仿宋" w:eastAsia="仿宋_GB2312"/>
          <w:sz w:val="32"/>
          <w:szCs w:val="32"/>
          <w:lang w:val="en-US" w:eastAsia="zh-CN"/>
        </w:rPr>
        <w:t xml:space="preserve">  </w:t>
      </w:r>
    </w:p>
    <w:p/>
    <w:p>
      <w:pPr>
        <w:pageBreakBefore w:val="0"/>
        <w:widowControl w:val="0"/>
        <w:kinsoku/>
        <w:wordWrap/>
        <w:overflowPunct/>
        <w:topLinePunct w:val="0"/>
        <w:autoSpaceDE/>
        <w:autoSpaceDN/>
        <w:bidi w:val="0"/>
        <w:adjustRightInd/>
        <w:snapToGrid/>
        <w:spacing w:beforeAutospacing="0" w:afterAutospacing="0" w:line="240" w:lineRule="auto"/>
        <w:textAlignment w:val="auto"/>
      </w:pPr>
    </w:p>
    <w:p>
      <w:pPr>
        <w:pStyle w:val="2"/>
        <w:pageBreakBefore w:val="0"/>
        <w:widowControl w:val="0"/>
        <w:kinsoku/>
        <w:wordWrap/>
        <w:overflowPunct/>
        <w:topLinePunct w:val="0"/>
        <w:autoSpaceDE/>
        <w:autoSpaceDN/>
        <w:bidi w:val="0"/>
        <w:adjustRightInd/>
        <w:snapToGrid/>
        <w:spacing w:before="0" w:beforeAutospacing="0" w:after="0" w:afterAutospacing="0" w:line="240" w:lineRule="auto"/>
        <w:textAlignment w:val="auto"/>
      </w:pPr>
    </w:p>
    <w:p>
      <w:pPr>
        <w:spacing w:line="520" w:lineRule="exact"/>
        <w:rPr>
          <w:rFonts w:ascii="仿宋_GB2312" w:hAnsi="宋体" w:eastAsia="仿宋_GB2312" w:cs="宋体"/>
          <w:sz w:val="32"/>
          <w:szCs w:val="32"/>
        </w:rPr>
      </w:pPr>
      <w:r>
        <w:rPr>
          <w:rFonts w:ascii="仿宋_GB2312" w:hAnsi="宋体" w:eastAsia="仿宋_GB2312" w:cs="宋体"/>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372100" cy="0"/>
                <wp:effectExtent l="0" t="9525" r="0" b="9525"/>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9050">
                          <a:solidFill>
                            <a:srgbClr val="000000"/>
                          </a:solidFill>
                          <a:round/>
                        </a:ln>
                        <a:effectLst/>
                      </wps:spPr>
                      <wps:bodyPr/>
                    </wps:wsp>
                  </a:graphicData>
                </a:graphic>
              </wp:anchor>
            </w:drawing>
          </mc:Choice>
          <mc:Fallback>
            <w:pict>
              <v:shape id="_x0000_s1026" o:spid="_x0000_s1026" o:spt="32" type="#_x0000_t32" style="position:absolute;left:0pt;margin-left:0pt;margin-top:0pt;height:0pt;width:423pt;z-index:251660288;mso-width-relative:page;mso-height-relative:page;" filled="f" stroked="t" coordsize="21600,21600" o:gfxdata="UEsDBAoAAAAAAIdO4kAAAAAAAAAAAAAAAAAEAAAAZHJzL1BLAwQUAAAACACHTuJAD5/0x84AAAAC&#10;AQAADwAAAGRycy9kb3ducmV2LnhtbE2PwUrEQAyG74LvMETwIrvTFSmldroHwZMH6+oDpJ3YFjuZ&#10;0plux7c360UvgY8//PlSHZOb1JmWMHo2cNhnoIg7b0fuDXy8P+8KUCEiW5w8k4FvCnCsr68qLK3f&#10;+I3Op9grKeFQooEhxrnUOnQDOQx7PxNL9ukXh1Fw6bVdcJNyN+n7LMu1w5HlwoAzPQ3UfZ1WZyC9&#10;5hxTU6R24/UlFHdNQtcYc3tzyB5BRUrxbxku+qIOtTi1fmUb1GRAHom/U7LiIRdsL6jrSv9Xr38A&#10;UEsDBBQAAAAIAIdO4kCHWzHt+QEAAM0DAAAOAAAAZHJzL2Uyb0RvYy54bWytU0uOEzEQ3SNxB8t7&#10;0p2g4dNKZxaJhs0AI81wAMft7rawXVbZSSeX4AJIrIAVsJo9p4HhGJSdD8OwmQW9sGyX36t6r6qn&#10;pxtr2Fph0OBqPh6VnCknodGuq/mbq7NHzzgLUbhGGHCq5lsV+Ons4YPp4Cs1gR5Mo5ARiQvV4Gve&#10;x+irogiyV1aEEXjlKNgCWhHpiF3RoBiI3ZpiUpZPigGw8QhShUC3i12Q7xnxPoTQtlqqBciVVS7u&#10;WFEZEUlS6LUPfJarbVsl4+u2DSoyU3NSGvNKSWi/TGsxm4qqQ+F7LfcliPuUcEeTFdpR0iPVQkTB&#10;Vqj/obJaIgRo40iCLXZCsiOkYlze8eayF15lLWR18EfTw/+jla/WF8h0U/MJZ05YavjN++uf7z7d&#10;fPv64+P1r+8f0v7LZzZJVg0+VISYuwtMYuXGXfpzkG8DczDvhetULvlq64lnnBDFX5B0CJ4SLoeX&#10;0NAbsYqQfdu0aBMlOcI2uT3bY3vUJjJJlyePn07GJXVOHmKFqA5AjyG+UGBZ2tQ8RBS66+McnKMh&#10;ABznNGJ9HmIqS1QHQMrq4Ewbk2fBODZQ7c/LkzIjAhjdpGh6F7Bbzg2ytUjjlL8skiK3nyGsXLPL&#10;YlzCqTyJ+9QHE3Z2LqHZXuDBKepyLm4/kWmMbp+zn3/+wt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5/0x84AAAACAQAADwAAAAAAAAABACAAAAAiAAAAZHJzL2Rvd25yZXYueG1sUEsBAhQAFAAA&#10;AAgAh07iQIdbMe35AQAAzQMAAA4AAAAAAAAAAQAgAAAAHQEAAGRycy9lMm9Eb2MueG1sUEsFBgAA&#10;AAAGAAYAWQEAAIgFAAAAAA==&#10;">
                <v:fill on="f" focussize="0,0"/>
                <v:stroke weight="1.5pt" color="#000000" joinstyle="round"/>
                <v:imagedata o:title=""/>
                <o:lock v:ext="edit" aspectratio="f"/>
              </v:shape>
            </w:pict>
          </mc:Fallback>
        </mc:AlternateContent>
      </w:r>
      <w:r>
        <w:rPr>
          <w:rFonts w:hint="eastAsia" w:ascii="仿宋_GB2312" w:hAnsi="Calibri" w:eastAsia="仿宋_GB2312" w:cs="Times New Roman"/>
          <w:sz w:val="28"/>
          <w:szCs w:val="28"/>
        </w:rPr>
        <w:t>抄送：海北州生态环境局、门源县生态环境综合行政执法大队，档。</w:t>
      </w:r>
    </w:p>
    <w:p>
      <w:pPr>
        <w:rPr>
          <w:rFonts w:hint="eastAsia" w:eastAsiaTheme="minorEastAsia"/>
          <w:lang w:val="en-US" w:eastAsia="zh-CN"/>
        </w:rPr>
      </w:pPr>
      <w:r>
        <w:rPr>
          <w:rFonts w:ascii="仿宋_GB2312" w:hAnsi="宋体" w:eastAsia="仿宋_GB2312" w:cs="宋体"/>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66040</wp:posOffset>
                </wp:positionV>
                <wp:extent cx="5372100" cy="0"/>
                <wp:effectExtent l="0" t="9525" r="0" b="9525"/>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9050">
                          <a:solidFill>
                            <a:srgbClr val="000000"/>
                          </a:solidFill>
                          <a:round/>
                        </a:ln>
                        <a:effectLst/>
                      </wps:spPr>
                      <wps:bodyPr/>
                    </wps:wsp>
                  </a:graphicData>
                </a:graphic>
              </wp:anchor>
            </w:drawing>
          </mc:Choice>
          <mc:Fallback>
            <w:pict>
              <v:shape id="_x0000_s1026" o:spid="_x0000_s1026" o:spt="32" type="#_x0000_t32" style="position:absolute;left:0pt;margin-left:0pt;margin-top:5.2pt;height:0pt;width:423pt;z-index:251661312;mso-width-relative:page;mso-height-relative:page;" filled="f" stroked="t" coordsize="21600,21600" o:gfxdata="UEsDBAoAAAAAAIdO4kAAAAAAAAAAAAAAAAAEAAAAZHJzL1BLAwQUAAAACACHTuJAz26eydAAAAAG&#10;AQAADwAAAGRycy9kb3ducmV2LnhtbE2PwU6EQAyG7ya+w6QmXszusGZDCDLswcSTB3H1AQpTgch0&#10;CDMs49tb40GP/f7m79fqlNykLrSE0bOBwz4DRdx5O3Jv4P3taVeAChHZ4uSZDHxRgFN9fVVhaf3G&#10;r3Q5x15JCYcSDQwxzqXWoRvIYdj7mViyD784jDIuvbYLblLuJn2fZbl2OLJcGHCmx4G6z/PqDKSX&#10;nGNqitRuvD6H4q5J6Bpjbm8O2QOoSCn+LcOPvqhDLU6tX9kGNRmQR6LQ7AhK0uKYC2h/ga4r/V+/&#10;/gZQSwMEFAAAAAgAh07iQJgNJVz5AQAAzQMAAA4AAABkcnMvZTJvRG9jLnhtbK1TzW4TMRC+I/EO&#10;lu9kN0HlZ5VND4nKpUCllgdwvN5dC9tjjZ1s8hK8ABIn4ASceudpoDwGY+cHWi49sAfLnpnvm5lv&#10;ZqenG2vYWmHQ4Go+HpWcKSeh0a6r+Zurs0fPOAtRuEYYcKrmWxX46ezhg+ngKzWBHkyjkBGJC9Xg&#10;a97H6KuiCLJXVoQReOXI2QJaEemJXdGgGIjdmmJSlk+KAbDxCFKFQNbFzsn3jHgfQmhbLdUC5Moq&#10;F3esqIyI1FLotQ98lqttWyXj67YNKjJTc+o05pOS0H2ZzmI2FVWHwvda7ksQ9ynhTk9WaEdJj1QL&#10;EQVbof6HymqJEKCNIwm22DWSFaEuxuUdbS574VXuhaQO/ih6+H+08tX6ApluaBM4c8LSwG/eX/98&#10;9+nm29cfH69/ff+Q7l8+s3GSavChIsTcXWBqVm7cpT8H+TYwB/NeuE7lkq+2nngyorgFSY/gKeFy&#10;eAkNxYhVhKzbpkWbKEkRtsnj2R7HozaRSTKePH46GZc0OXnwFaI6AD2G+EKBZelS8xBR6K6Pc3CO&#10;lgBwnNOI9XmI1AgBD4CU1cGZNibvgnFsoNqflydlRgQwukneFBewW84NsrVI65S/JAux3QpDWLlm&#10;Zzcu4VTexH3qgwg7OZfQbC8wBSc7TTnT7TcyrdHf7xz15y+c/Q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Pbp7J0AAAAAYBAAAPAAAAAAAAAAEAIAAAACIAAABkcnMvZG93bnJldi54bWxQSwECFAAU&#10;AAAACACHTuJAmA0lXPkBAADNAwAADgAAAAAAAAABACAAAAAfAQAAZHJzL2Uyb0RvYy54bWxQSwUG&#10;AAAAAAYABgBZAQAAigUAAAAA&#10;">
                <v:fill on="f" focussize="0,0"/>
                <v:stroke weight="1.5pt" color="#000000" joinstyle="round"/>
                <v:imagedata o:title=""/>
                <o:lock v:ext="edit" aspectratio="f"/>
              </v:shape>
            </w:pict>
          </mc:Fallback>
        </mc:AlternateContent>
      </w:r>
      <w:r>
        <w:rPr>
          <w:rFonts w:hint="eastAsia" w:ascii="仿宋_GB2312" w:hAnsi="Calibri" w:eastAsia="仿宋_GB2312" w:cs="Times New Roman"/>
          <w:sz w:val="28"/>
          <w:szCs w:val="28"/>
        </w:rPr>
        <w:t>门源县</w:t>
      </w:r>
      <w:r>
        <w:rPr>
          <w:rFonts w:hint="eastAsia" w:ascii="仿宋_GB2312" w:eastAsia="仿宋_GB2312" w:cs="Times New Roman"/>
          <w:sz w:val="28"/>
          <w:szCs w:val="28"/>
          <w:lang w:eastAsia="zh-CN"/>
        </w:rPr>
        <w:t>生态</w:t>
      </w:r>
      <w:r>
        <w:rPr>
          <w:rFonts w:hint="eastAsia" w:ascii="仿宋_GB2312" w:hAnsi="Calibri" w:eastAsia="仿宋_GB2312" w:cs="Times New Roman"/>
          <w:sz w:val="28"/>
          <w:szCs w:val="28"/>
        </w:rPr>
        <w:t xml:space="preserve">环境局           </w:t>
      </w:r>
      <w:r>
        <w:rPr>
          <w:rFonts w:hint="eastAsia" w:ascii="仿宋_GB2312" w:hAnsi="Calibri" w:eastAsia="仿宋_GB2312" w:cs="Times New Roman"/>
          <w:sz w:val="28"/>
          <w:szCs w:val="28"/>
          <w:lang w:val="en-US" w:eastAsia="zh-CN"/>
        </w:rPr>
        <w:t xml:space="preserve"> </w:t>
      </w:r>
      <w:r>
        <w:rPr>
          <w:rFonts w:hint="eastAsia" w:ascii="仿宋_GB2312" w:hAnsi="Calibri" w:eastAsia="仿宋_GB2312" w:cs="Times New Roman"/>
          <w:sz w:val="28"/>
          <w:szCs w:val="28"/>
        </w:rPr>
        <w:t xml:space="preserve">    </w:t>
      </w:r>
      <w:r>
        <w:rPr>
          <w:rFonts w:hint="eastAsia" w:ascii="仿宋_GB2312" w:eastAsia="仿宋_GB2312" w:cs="Times New Roman"/>
          <w:sz w:val="28"/>
          <w:szCs w:val="28"/>
          <w:lang w:val="en-US" w:eastAsia="zh-CN"/>
        </w:rPr>
        <w:t xml:space="preserve">      </w:t>
      </w:r>
      <w:r>
        <w:rPr>
          <w:rFonts w:hint="eastAsia" w:ascii="仿宋_GB2312" w:hAnsi="Calibri" w:eastAsia="仿宋_GB2312" w:cs="Times New Roman"/>
          <w:sz w:val="28"/>
          <w:szCs w:val="28"/>
        </w:rPr>
        <w:t xml:space="preserve">  20</w:t>
      </w:r>
      <w:r>
        <w:rPr>
          <w:rFonts w:hint="eastAsia" w:ascii="仿宋_GB2312" w:eastAsia="仿宋_GB2312" w:cs="Times New Roman"/>
          <w:sz w:val="28"/>
          <w:szCs w:val="28"/>
          <w:lang w:val="en-US" w:eastAsia="zh-CN"/>
        </w:rPr>
        <w:t>20</w:t>
      </w:r>
      <w:r>
        <w:rPr>
          <w:rFonts w:hint="eastAsia" w:ascii="仿宋_GB2312" w:hAnsi="Calibri" w:eastAsia="仿宋_GB2312" w:cs="Times New Roman"/>
          <w:sz w:val="28"/>
          <w:szCs w:val="28"/>
        </w:rPr>
        <w:t>年</w:t>
      </w:r>
      <w:r>
        <w:rPr>
          <w:rFonts w:hint="eastAsia" w:ascii="仿宋_GB2312" w:eastAsia="仿宋_GB2312" w:cs="Times New Roman"/>
          <w:sz w:val="28"/>
          <w:szCs w:val="28"/>
          <w:lang w:val="en-US" w:eastAsia="zh-CN"/>
        </w:rPr>
        <w:t>12</w:t>
      </w:r>
      <w:r>
        <w:rPr>
          <w:rFonts w:hint="eastAsia" w:ascii="仿宋_GB2312" w:hAnsi="Calibri" w:eastAsia="仿宋_GB2312" w:cs="Times New Roman"/>
          <w:sz w:val="28"/>
          <w:szCs w:val="28"/>
        </w:rPr>
        <w:t>月</w:t>
      </w:r>
      <w:r>
        <w:rPr>
          <w:rFonts w:hint="eastAsia" w:ascii="仿宋_GB2312" w:hAnsi="Calibri" w:eastAsia="仿宋_GB2312" w:cs="Times New Roman"/>
          <w:sz w:val="28"/>
          <w:szCs w:val="28"/>
          <w:lang w:val="en-US" w:eastAsia="zh-CN"/>
        </w:rPr>
        <w:t>28</w:t>
      </w:r>
      <w:bookmarkStart w:id="0" w:name="_GoBack"/>
      <w:bookmarkEnd w:id="0"/>
      <w:r>
        <w:rPr>
          <w:rFonts w:hint="eastAsia" w:ascii="仿宋_GB2312" w:hAnsi="Calibri" w:eastAsia="仿宋_GB2312" w:cs="Times New Roman"/>
          <w:sz w:val="28"/>
          <w:szCs w:val="28"/>
        </w:rPr>
        <w:t>日印发</w:t>
      </w:r>
    </w:p>
    <w:sectPr>
      <w:pgSz w:w="11906" w:h="16838"/>
      <w:pgMar w:top="1440" w:right="1474"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F346B5"/>
    <w:rsid w:val="00442F80"/>
    <w:rsid w:val="00662ED1"/>
    <w:rsid w:val="02F31230"/>
    <w:rsid w:val="030A42AC"/>
    <w:rsid w:val="03211653"/>
    <w:rsid w:val="036D3A01"/>
    <w:rsid w:val="03F87F8E"/>
    <w:rsid w:val="04512D5C"/>
    <w:rsid w:val="05C5265B"/>
    <w:rsid w:val="065174B4"/>
    <w:rsid w:val="065C5C6F"/>
    <w:rsid w:val="07571145"/>
    <w:rsid w:val="07A20814"/>
    <w:rsid w:val="07E303ED"/>
    <w:rsid w:val="07F72AAD"/>
    <w:rsid w:val="084C0C4A"/>
    <w:rsid w:val="086B37FC"/>
    <w:rsid w:val="086D634D"/>
    <w:rsid w:val="08BA7932"/>
    <w:rsid w:val="096336BB"/>
    <w:rsid w:val="09A13E8C"/>
    <w:rsid w:val="09E677ED"/>
    <w:rsid w:val="09F25002"/>
    <w:rsid w:val="0A525104"/>
    <w:rsid w:val="0AC26DF7"/>
    <w:rsid w:val="0AFA0229"/>
    <w:rsid w:val="0BD36FAB"/>
    <w:rsid w:val="0C201245"/>
    <w:rsid w:val="0CB4091D"/>
    <w:rsid w:val="0CF160D5"/>
    <w:rsid w:val="0E1C5EF9"/>
    <w:rsid w:val="0E733322"/>
    <w:rsid w:val="0E855C27"/>
    <w:rsid w:val="0F400A42"/>
    <w:rsid w:val="0F955F97"/>
    <w:rsid w:val="0F9D0CF9"/>
    <w:rsid w:val="0FCF1605"/>
    <w:rsid w:val="119502E4"/>
    <w:rsid w:val="11AA78AD"/>
    <w:rsid w:val="129939A6"/>
    <w:rsid w:val="12D448B7"/>
    <w:rsid w:val="13646B6F"/>
    <w:rsid w:val="13D274D6"/>
    <w:rsid w:val="143932E6"/>
    <w:rsid w:val="14440862"/>
    <w:rsid w:val="147404E6"/>
    <w:rsid w:val="153855FD"/>
    <w:rsid w:val="154B5230"/>
    <w:rsid w:val="15952BC7"/>
    <w:rsid w:val="15C415F6"/>
    <w:rsid w:val="1652260F"/>
    <w:rsid w:val="16706320"/>
    <w:rsid w:val="169069FB"/>
    <w:rsid w:val="16960396"/>
    <w:rsid w:val="17174174"/>
    <w:rsid w:val="176B4E22"/>
    <w:rsid w:val="189A2294"/>
    <w:rsid w:val="18C952D7"/>
    <w:rsid w:val="18D87011"/>
    <w:rsid w:val="18DD6B6B"/>
    <w:rsid w:val="18E237A1"/>
    <w:rsid w:val="19431D0D"/>
    <w:rsid w:val="1A2C5D80"/>
    <w:rsid w:val="1B403ED4"/>
    <w:rsid w:val="1BC85EE7"/>
    <w:rsid w:val="1C095545"/>
    <w:rsid w:val="1C0B2960"/>
    <w:rsid w:val="1C7A411F"/>
    <w:rsid w:val="1C917D47"/>
    <w:rsid w:val="1DC02E92"/>
    <w:rsid w:val="1E1A4531"/>
    <w:rsid w:val="1E2F2333"/>
    <w:rsid w:val="1ED2597E"/>
    <w:rsid w:val="1F1F123D"/>
    <w:rsid w:val="1F313CD1"/>
    <w:rsid w:val="20795CBA"/>
    <w:rsid w:val="208207EA"/>
    <w:rsid w:val="20BF73CA"/>
    <w:rsid w:val="22123982"/>
    <w:rsid w:val="225323DF"/>
    <w:rsid w:val="26032D98"/>
    <w:rsid w:val="26667B4F"/>
    <w:rsid w:val="26B84CB2"/>
    <w:rsid w:val="274A56DA"/>
    <w:rsid w:val="276A54A1"/>
    <w:rsid w:val="27724972"/>
    <w:rsid w:val="28684739"/>
    <w:rsid w:val="288E3D35"/>
    <w:rsid w:val="291016B2"/>
    <w:rsid w:val="29405CB5"/>
    <w:rsid w:val="29E71850"/>
    <w:rsid w:val="29F766A4"/>
    <w:rsid w:val="29FB35AC"/>
    <w:rsid w:val="2A18180B"/>
    <w:rsid w:val="2AA619BD"/>
    <w:rsid w:val="2B7F43AF"/>
    <w:rsid w:val="2BB1423B"/>
    <w:rsid w:val="2BEE798F"/>
    <w:rsid w:val="2C241674"/>
    <w:rsid w:val="2D0F2890"/>
    <w:rsid w:val="2E2D174B"/>
    <w:rsid w:val="2E3E5BC8"/>
    <w:rsid w:val="2E5F4EBF"/>
    <w:rsid w:val="2EA91E61"/>
    <w:rsid w:val="2ECF4565"/>
    <w:rsid w:val="2EE10408"/>
    <w:rsid w:val="2F0F0C80"/>
    <w:rsid w:val="2FBF7ABA"/>
    <w:rsid w:val="30475062"/>
    <w:rsid w:val="3084639A"/>
    <w:rsid w:val="3201668E"/>
    <w:rsid w:val="32046BB0"/>
    <w:rsid w:val="32143247"/>
    <w:rsid w:val="32BE5428"/>
    <w:rsid w:val="3322006F"/>
    <w:rsid w:val="333123DC"/>
    <w:rsid w:val="33603EC3"/>
    <w:rsid w:val="345F7546"/>
    <w:rsid w:val="34814047"/>
    <w:rsid w:val="34D84B16"/>
    <w:rsid w:val="353459E0"/>
    <w:rsid w:val="357232D9"/>
    <w:rsid w:val="35D93AB9"/>
    <w:rsid w:val="36462D3F"/>
    <w:rsid w:val="369912DC"/>
    <w:rsid w:val="36B600A4"/>
    <w:rsid w:val="36BF122F"/>
    <w:rsid w:val="36E506F6"/>
    <w:rsid w:val="36ED7719"/>
    <w:rsid w:val="371E3121"/>
    <w:rsid w:val="37611399"/>
    <w:rsid w:val="37DA06B4"/>
    <w:rsid w:val="3834012C"/>
    <w:rsid w:val="3879455A"/>
    <w:rsid w:val="3903066E"/>
    <w:rsid w:val="39083263"/>
    <w:rsid w:val="39AC2036"/>
    <w:rsid w:val="3B5B1668"/>
    <w:rsid w:val="3C0D5128"/>
    <w:rsid w:val="3C126A42"/>
    <w:rsid w:val="3C472A30"/>
    <w:rsid w:val="3C616D22"/>
    <w:rsid w:val="3CC76438"/>
    <w:rsid w:val="3CFC201D"/>
    <w:rsid w:val="3D5B7955"/>
    <w:rsid w:val="3D7D0ED1"/>
    <w:rsid w:val="3DA4103E"/>
    <w:rsid w:val="3DE90CA8"/>
    <w:rsid w:val="3E812E37"/>
    <w:rsid w:val="3E941864"/>
    <w:rsid w:val="3EEC14AA"/>
    <w:rsid w:val="3F250D48"/>
    <w:rsid w:val="3FBE6297"/>
    <w:rsid w:val="3FE52958"/>
    <w:rsid w:val="3FF549D2"/>
    <w:rsid w:val="40EA01B2"/>
    <w:rsid w:val="40EE43E0"/>
    <w:rsid w:val="4136524D"/>
    <w:rsid w:val="416F7D53"/>
    <w:rsid w:val="41AB636A"/>
    <w:rsid w:val="42013011"/>
    <w:rsid w:val="4313218E"/>
    <w:rsid w:val="43CA675E"/>
    <w:rsid w:val="4443202D"/>
    <w:rsid w:val="4453725C"/>
    <w:rsid w:val="44966D00"/>
    <w:rsid w:val="449D2F30"/>
    <w:rsid w:val="455C2F39"/>
    <w:rsid w:val="45E94632"/>
    <w:rsid w:val="469D0A94"/>
    <w:rsid w:val="47122F10"/>
    <w:rsid w:val="472A6B52"/>
    <w:rsid w:val="47F33731"/>
    <w:rsid w:val="48094A92"/>
    <w:rsid w:val="48843D07"/>
    <w:rsid w:val="48F508DB"/>
    <w:rsid w:val="49195F41"/>
    <w:rsid w:val="492F4C52"/>
    <w:rsid w:val="49500F10"/>
    <w:rsid w:val="49EF302B"/>
    <w:rsid w:val="49F500B8"/>
    <w:rsid w:val="49FF29EC"/>
    <w:rsid w:val="4A5857FC"/>
    <w:rsid w:val="4ADE481F"/>
    <w:rsid w:val="4B437687"/>
    <w:rsid w:val="4B6B77EC"/>
    <w:rsid w:val="4B7B72A0"/>
    <w:rsid w:val="4BC73D7E"/>
    <w:rsid w:val="4C4B7506"/>
    <w:rsid w:val="4CA276DB"/>
    <w:rsid w:val="4DD43772"/>
    <w:rsid w:val="4E851E37"/>
    <w:rsid w:val="50264954"/>
    <w:rsid w:val="510B1AE1"/>
    <w:rsid w:val="51173810"/>
    <w:rsid w:val="51563422"/>
    <w:rsid w:val="5203333A"/>
    <w:rsid w:val="52211FA2"/>
    <w:rsid w:val="522F5C7F"/>
    <w:rsid w:val="52713D55"/>
    <w:rsid w:val="530A7613"/>
    <w:rsid w:val="53672261"/>
    <w:rsid w:val="538107F3"/>
    <w:rsid w:val="53C17B29"/>
    <w:rsid w:val="53EC2802"/>
    <w:rsid w:val="54243402"/>
    <w:rsid w:val="54D52180"/>
    <w:rsid w:val="555A0E0D"/>
    <w:rsid w:val="56777A44"/>
    <w:rsid w:val="56A705C1"/>
    <w:rsid w:val="57B37632"/>
    <w:rsid w:val="585D2F9C"/>
    <w:rsid w:val="59785934"/>
    <w:rsid w:val="59C23F46"/>
    <w:rsid w:val="59EA20DD"/>
    <w:rsid w:val="5A5B3843"/>
    <w:rsid w:val="5A72528C"/>
    <w:rsid w:val="5B6209EE"/>
    <w:rsid w:val="5B973CD7"/>
    <w:rsid w:val="5CA46892"/>
    <w:rsid w:val="5D392B09"/>
    <w:rsid w:val="5E1958B9"/>
    <w:rsid w:val="5E5C0B64"/>
    <w:rsid w:val="5F6B5BBB"/>
    <w:rsid w:val="61FB7B51"/>
    <w:rsid w:val="63185CBD"/>
    <w:rsid w:val="632179BF"/>
    <w:rsid w:val="63F552B1"/>
    <w:rsid w:val="641D5A4C"/>
    <w:rsid w:val="64CE718F"/>
    <w:rsid w:val="64F622CF"/>
    <w:rsid w:val="65314825"/>
    <w:rsid w:val="658C2D58"/>
    <w:rsid w:val="66272B10"/>
    <w:rsid w:val="670A1318"/>
    <w:rsid w:val="67631F1E"/>
    <w:rsid w:val="679367A7"/>
    <w:rsid w:val="67A55018"/>
    <w:rsid w:val="67BE2E63"/>
    <w:rsid w:val="67C9554C"/>
    <w:rsid w:val="68096314"/>
    <w:rsid w:val="68505A32"/>
    <w:rsid w:val="68D643FF"/>
    <w:rsid w:val="690F3D97"/>
    <w:rsid w:val="695A0F14"/>
    <w:rsid w:val="69601C33"/>
    <w:rsid w:val="69D12981"/>
    <w:rsid w:val="6A4A14DF"/>
    <w:rsid w:val="6A9D5432"/>
    <w:rsid w:val="6B28137B"/>
    <w:rsid w:val="6B2F179C"/>
    <w:rsid w:val="6B555A42"/>
    <w:rsid w:val="6B7327AB"/>
    <w:rsid w:val="6C4E3E02"/>
    <w:rsid w:val="6C5D2EB5"/>
    <w:rsid w:val="6CC24121"/>
    <w:rsid w:val="6CFD58CC"/>
    <w:rsid w:val="6D4E2EC4"/>
    <w:rsid w:val="6E4A0477"/>
    <w:rsid w:val="6E70782E"/>
    <w:rsid w:val="6EC50D38"/>
    <w:rsid w:val="6EE856AE"/>
    <w:rsid w:val="6EFB4638"/>
    <w:rsid w:val="6F23401F"/>
    <w:rsid w:val="6F654415"/>
    <w:rsid w:val="70060BF7"/>
    <w:rsid w:val="703F33E4"/>
    <w:rsid w:val="70484F97"/>
    <w:rsid w:val="70F346B5"/>
    <w:rsid w:val="715F4ECA"/>
    <w:rsid w:val="71CA2E87"/>
    <w:rsid w:val="71E560C7"/>
    <w:rsid w:val="72935991"/>
    <w:rsid w:val="72991BF7"/>
    <w:rsid w:val="72BA566E"/>
    <w:rsid w:val="732552D8"/>
    <w:rsid w:val="7348713D"/>
    <w:rsid w:val="73747430"/>
    <w:rsid w:val="73815B60"/>
    <w:rsid w:val="739C24AE"/>
    <w:rsid w:val="73FC3F35"/>
    <w:rsid w:val="74F93F74"/>
    <w:rsid w:val="753A1FD3"/>
    <w:rsid w:val="76F23F6B"/>
    <w:rsid w:val="7701621F"/>
    <w:rsid w:val="77EA76C3"/>
    <w:rsid w:val="77F5685F"/>
    <w:rsid w:val="787F13CD"/>
    <w:rsid w:val="78ED23E1"/>
    <w:rsid w:val="78F80B2A"/>
    <w:rsid w:val="79157BD4"/>
    <w:rsid w:val="7A162E3E"/>
    <w:rsid w:val="7B066C09"/>
    <w:rsid w:val="7B7F4ECB"/>
    <w:rsid w:val="7C421600"/>
    <w:rsid w:val="7C6743D7"/>
    <w:rsid w:val="7D604001"/>
    <w:rsid w:val="7D744D4C"/>
    <w:rsid w:val="7EAA5814"/>
    <w:rsid w:val="7ED458B1"/>
    <w:rsid w:val="7F8D28F3"/>
    <w:rsid w:val="7FF56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3"/>
    <w:next w:val="3"/>
    <w:qFormat/>
    <w:uiPriority w:val="99"/>
    <w:pPr>
      <w:keepNext/>
      <w:keepLines/>
      <w:spacing w:before="100" w:beforeAutospacing="1" w:after="100" w:afterAutospacing="1" w:line="412" w:lineRule="auto"/>
      <w:ind w:left="200"/>
      <w:outlineLvl w:val="2"/>
    </w:pPr>
    <w:rPr>
      <w:b/>
      <w:bCs/>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table of authorities"/>
    <w:basedOn w:val="1"/>
    <w:next w:val="1"/>
    <w:semiHidden/>
    <w:qFormat/>
    <w:uiPriority w:val="99"/>
    <w:pPr>
      <w:spacing w:line="600" w:lineRule="exact"/>
      <w:ind w:left="420" w:leftChars="200" w:firstLine="200" w:firstLineChars="200"/>
    </w:pPr>
    <w:rPr>
      <w:rFonts w:ascii="仿宋_GB2312" w:hAnsi="宋体" w:eastAsia="仿宋_GB2312" w:cs="宋体"/>
      <w:spacing w:val="-4"/>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2020-10-10T09:08:00Z</dcterms:created>
  <dc:creator>周周</dc:creator>
  <cp:lastModifiedBy>周周</cp:lastModifiedBy>
  <cp:lastPrinted>2020-10-16T01:33:00Z</cp:lastPrinted>
  <dcterms:modified xsi:type="dcterms:W3CDTF">2020-12-28T02:51:10Z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